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66" w:rsidRDefault="0098428A" w:rsidP="0098428A">
      <w:pPr>
        <w:tabs>
          <w:tab w:val="left" w:pos="9180"/>
        </w:tabs>
        <w:spacing w:after="0" w:line="240" w:lineRule="auto"/>
        <w:rPr>
          <w:rFonts w:ascii="Times New Roman" w:hAnsi="Times New Roman"/>
          <w:sz w:val="24"/>
          <w:szCs w:val="24"/>
        </w:rPr>
      </w:pPr>
      <w:bookmarkStart w:id="0" w:name="Par1"/>
      <w:bookmarkStart w:id="1" w:name="Par27"/>
      <w:bookmarkEnd w:id="0"/>
      <w:bookmarkEnd w:id="1"/>
      <w:r w:rsidRPr="0098428A">
        <w:rPr>
          <w:rFonts w:ascii="Times New Roman" w:hAnsi="Times New Roman"/>
          <w:sz w:val="24"/>
          <w:szCs w:val="24"/>
        </w:rPr>
        <w:t xml:space="preserve">                                                                          </w:t>
      </w:r>
    </w:p>
    <w:p w:rsidR="00FC5466" w:rsidRPr="00B370C6" w:rsidRDefault="00FC5466" w:rsidP="00FC5466">
      <w:pPr>
        <w:tabs>
          <w:tab w:val="left" w:pos="9180"/>
        </w:tabs>
        <w:spacing w:after="0"/>
        <w:jc w:val="center"/>
        <w:rPr>
          <w:rFonts w:ascii="Times New Roman" w:hAnsi="Times New Roman"/>
          <w:spacing w:val="20"/>
        </w:rPr>
      </w:pPr>
      <w:r w:rsidRPr="00D21A13">
        <w:rPr>
          <w:rFonts w:ascii="Times New Roman" w:hAnsi="Times New Roman"/>
          <w:noProof/>
        </w:rPr>
        <w:drawing>
          <wp:inline distT="0" distB="0" distL="0" distR="0">
            <wp:extent cx="6953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828675"/>
                    </a:xfrm>
                    <a:prstGeom prst="rect">
                      <a:avLst/>
                    </a:prstGeom>
                    <a:noFill/>
                    <a:ln>
                      <a:noFill/>
                    </a:ln>
                  </pic:spPr>
                </pic:pic>
              </a:graphicData>
            </a:graphic>
          </wp:inline>
        </w:drawing>
      </w:r>
    </w:p>
    <w:p w:rsidR="00FC5466" w:rsidRPr="003B4A0F" w:rsidRDefault="00FC5466" w:rsidP="00FC5466">
      <w:pPr>
        <w:pStyle w:val="a3"/>
        <w:tabs>
          <w:tab w:val="left" w:pos="708"/>
          <w:tab w:val="left" w:pos="9180"/>
        </w:tabs>
        <w:spacing w:line="252" w:lineRule="auto"/>
        <w:jc w:val="center"/>
        <w:rPr>
          <w:b/>
          <w:spacing w:val="24"/>
        </w:rPr>
      </w:pPr>
    </w:p>
    <w:p w:rsidR="00FC5466" w:rsidRPr="003B4A0F" w:rsidRDefault="00FC5466" w:rsidP="00FC5466">
      <w:pPr>
        <w:pStyle w:val="a3"/>
        <w:tabs>
          <w:tab w:val="left" w:pos="708"/>
          <w:tab w:val="left" w:pos="9180"/>
        </w:tabs>
        <w:spacing w:line="252" w:lineRule="auto"/>
        <w:jc w:val="center"/>
        <w:rPr>
          <w:b/>
          <w:spacing w:val="24"/>
        </w:rPr>
      </w:pPr>
      <w:r w:rsidRPr="003B4A0F">
        <w:rPr>
          <w:b/>
          <w:spacing w:val="24"/>
        </w:rPr>
        <w:t>РОВЕНСКАЯ РАЙО</w:t>
      </w:r>
      <w:bookmarkStart w:id="2" w:name="_GoBack"/>
      <w:bookmarkEnd w:id="2"/>
      <w:r w:rsidRPr="003B4A0F">
        <w:rPr>
          <w:b/>
          <w:spacing w:val="24"/>
        </w:rPr>
        <w:t>ННАЯ АДМИНИСТРАЦИЯ</w:t>
      </w:r>
    </w:p>
    <w:p w:rsidR="00FC5466" w:rsidRPr="003B4A0F" w:rsidRDefault="00FC5466" w:rsidP="00FC5466">
      <w:pPr>
        <w:pStyle w:val="a3"/>
        <w:tabs>
          <w:tab w:val="left" w:pos="708"/>
          <w:tab w:val="left" w:pos="9180"/>
        </w:tabs>
        <w:spacing w:line="252" w:lineRule="auto"/>
        <w:jc w:val="center"/>
        <w:rPr>
          <w:b/>
          <w:spacing w:val="24"/>
          <w:sz w:val="20"/>
        </w:rPr>
      </w:pPr>
      <w:r w:rsidRPr="003B4A0F">
        <w:rPr>
          <w:b/>
          <w:spacing w:val="24"/>
        </w:rPr>
        <w:t xml:space="preserve">РОВЕНСКОГО МУНИЦИПАЛЬНОГО РАЙОНА </w:t>
      </w:r>
      <w:r w:rsidRPr="003B4A0F">
        <w:rPr>
          <w:b/>
          <w:spacing w:val="24"/>
        </w:rPr>
        <w:br/>
        <w:t xml:space="preserve"> САРАТОВСКОЙ ОБЛАСТИ</w:t>
      </w:r>
    </w:p>
    <w:p w:rsidR="00FC5466" w:rsidRPr="003B4A0F" w:rsidRDefault="00FC5466" w:rsidP="00FC5466">
      <w:pPr>
        <w:pStyle w:val="a3"/>
        <w:tabs>
          <w:tab w:val="clear" w:pos="9355"/>
          <w:tab w:val="center" w:pos="0"/>
          <w:tab w:val="left" w:pos="708"/>
          <w:tab w:val="left" w:pos="9180"/>
          <w:tab w:val="right" w:pos="9360"/>
        </w:tabs>
        <w:spacing w:before="240"/>
        <w:jc w:val="center"/>
        <w:rPr>
          <w:spacing w:val="30"/>
        </w:rPr>
      </w:pPr>
      <w:r w:rsidRPr="003B4A0F">
        <w:rPr>
          <w:b/>
          <w:spacing w:val="110"/>
          <w:sz w:val="30"/>
        </w:rPr>
        <w:t xml:space="preserve">ПОСТАНОВЛЕНИЕ                                                                                                                                                                                                                                                                                                                                                                                                                                                                                                                                                                                                                                                                                                                                                                                                                                                                                                                                                                                                                                                                                                                                                                                                                                                                                                                                                                                                                                                                                                                                                                                                                                                                                                                                                                                                                                                                                                                                                                                                                                                                                                                                                                                                                                                                                                                                                                                                                                                                                                                                                                                                                                                                                                                                                                                                                                                                                                                                                                                                                                                    </w:t>
      </w:r>
    </w:p>
    <w:p w:rsidR="00FC5466" w:rsidRPr="003B4A0F" w:rsidRDefault="00FC5466" w:rsidP="00FC5466">
      <w:pPr>
        <w:tabs>
          <w:tab w:val="left" w:pos="9180"/>
        </w:tabs>
        <w:spacing w:after="0"/>
        <w:jc w:val="center"/>
        <w:rPr>
          <w:rFonts w:ascii="Times New Roman" w:hAnsi="Times New Roman"/>
          <w:b/>
          <w:sz w:val="28"/>
          <w:szCs w:val="28"/>
        </w:rPr>
      </w:pPr>
    </w:p>
    <w:p w:rsidR="00FC5466" w:rsidRPr="00B370C6" w:rsidRDefault="00FC5466" w:rsidP="00FC5466">
      <w:pPr>
        <w:spacing w:after="0"/>
        <w:rPr>
          <w:rFonts w:ascii="Times New Roman" w:hAnsi="Times New Roman"/>
          <w:sz w:val="28"/>
          <w:szCs w:val="28"/>
        </w:rPr>
      </w:pPr>
      <w:r w:rsidRPr="00B370C6">
        <w:rPr>
          <w:rFonts w:ascii="Times New Roman" w:hAnsi="Times New Roman"/>
          <w:sz w:val="28"/>
          <w:szCs w:val="28"/>
        </w:rPr>
        <w:t xml:space="preserve">от  </w:t>
      </w:r>
      <w:r w:rsidR="005621BD">
        <w:rPr>
          <w:rFonts w:ascii="Times New Roman" w:hAnsi="Times New Roman"/>
          <w:sz w:val="28"/>
          <w:szCs w:val="28"/>
        </w:rPr>
        <w:t>01.02.2023</w:t>
      </w:r>
      <w:r w:rsidRPr="00B370C6">
        <w:rPr>
          <w:rFonts w:ascii="Times New Roman" w:hAnsi="Times New Roman"/>
          <w:sz w:val="28"/>
          <w:szCs w:val="28"/>
        </w:rPr>
        <w:t xml:space="preserve">  </w:t>
      </w:r>
      <w:r>
        <w:rPr>
          <w:rFonts w:ascii="Times New Roman" w:hAnsi="Times New Roman"/>
          <w:b/>
          <w:sz w:val="28"/>
          <w:szCs w:val="28"/>
        </w:rPr>
        <w:t xml:space="preserve">                                   </w:t>
      </w:r>
      <w:r w:rsidRPr="00B370C6">
        <w:rPr>
          <w:rFonts w:ascii="Times New Roman" w:hAnsi="Times New Roman"/>
          <w:sz w:val="28"/>
          <w:szCs w:val="28"/>
        </w:rPr>
        <w:t xml:space="preserve">№ </w:t>
      </w:r>
      <w:r w:rsidR="005621BD">
        <w:rPr>
          <w:rFonts w:ascii="Times New Roman" w:hAnsi="Times New Roman"/>
          <w:sz w:val="28"/>
          <w:szCs w:val="28"/>
        </w:rPr>
        <w:t>24</w:t>
      </w:r>
      <w:r>
        <w:rPr>
          <w:rFonts w:ascii="Times New Roman" w:hAnsi="Times New Roman"/>
          <w:b/>
          <w:sz w:val="28"/>
          <w:szCs w:val="28"/>
        </w:rPr>
        <w:t xml:space="preserve">  </w:t>
      </w:r>
      <w:r w:rsidRPr="00B370C6">
        <w:rPr>
          <w:rFonts w:ascii="Times New Roman" w:hAnsi="Times New Roman"/>
          <w:sz w:val="28"/>
          <w:szCs w:val="28"/>
        </w:rPr>
        <w:t xml:space="preserve">                                            р.п. Ровное</w:t>
      </w:r>
    </w:p>
    <w:p w:rsidR="00FC5466" w:rsidRPr="00B370C6" w:rsidRDefault="00FC5466" w:rsidP="00FC5466">
      <w:pPr>
        <w:spacing w:after="0"/>
        <w:jc w:val="both"/>
        <w:rPr>
          <w:rFonts w:ascii="Times New Roman" w:hAnsi="Times New Roman"/>
          <w:sz w:val="28"/>
          <w:szCs w:val="28"/>
        </w:rPr>
      </w:pPr>
    </w:p>
    <w:p w:rsidR="00FC5466" w:rsidRPr="00C61FAF" w:rsidRDefault="00FC5466" w:rsidP="00FC5466">
      <w:pPr>
        <w:spacing w:after="0"/>
        <w:rPr>
          <w:rFonts w:ascii="Times New Roman" w:hAnsi="Times New Roman"/>
          <w:b/>
          <w:sz w:val="28"/>
          <w:szCs w:val="28"/>
        </w:rPr>
      </w:pPr>
      <w:r>
        <w:rPr>
          <w:rFonts w:ascii="Times New Roman" w:hAnsi="Times New Roman"/>
          <w:b/>
          <w:sz w:val="28"/>
          <w:szCs w:val="28"/>
        </w:rPr>
        <w:t xml:space="preserve">О внесении дополнений в Административный регламент </w:t>
      </w:r>
      <w:r w:rsidR="005621BD">
        <w:rPr>
          <w:rFonts w:ascii="Times New Roman" w:hAnsi="Times New Roman"/>
          <w:b/>
          <w:sz w:val="28"/>
          <w:szCs w:val="28"/>
        </w:rPr>
        <w:t>по предоставлению</w:t>
      </w:r>
      <w:r>
        <w:rPr>
          <w:rFonts w:ascii="Times New Roman" w:hAnsi="Times New Roman"/>
          <w:b/>
          <w:sz w:val="28"/>
          <w:szCs w:val="28"/>
        </w:rPr>
        <w:t xml:space="preserve"> муниципальной услуги </w:t>
      </w:r>
      <w:r w:rsidRPr="00B54265">
        <w:rPr>
          <w:rFonts w:ascii="Times New Roman" w:hAnsi="Times New Roman"/>
          <w:b/>
          <w:bCs/>
          <w:sz w:val="28"/>
          <w:szCs w:val="20"/>
          <w:lang w:eastAsia="zh-CN"/>
        </w:rPr>
        <w:t>по</w:t>
      </w:r>
      <w:r w:rsidR="005621BD">
        <w:rPr>
          <w:rFonts w:ascii="Times New Roman" w:hAnsi="Times New Roman"/>
          <w:b/>
          <w:bCs/>
          <w:sz w:val="28"/>
          <w:szCs w:val="20"/>
          <w:lang w:eastAsia="zh-CN"/>
        </w:rPr>
        <w:t xml:space="preserve"> предоставлению</w:t>
      </w:r>
      <w:r w:rsidRPr="00B54265">
        <w:rPr>
          <w:rFonts w:ascii="Times New Roman" w:hAnsi="Times New Roman"/>
          <w:b/>
          <w:bCs/>
          <w:sz w:val="28"/>
          <w:szCs w:val="20"/>
          <w:lang w:eastAsia="zh-CN"/>
        </w:rPr>
        <w:t xml:space="preserve"> </w:t>
      </w:r>
      <w:r w:rsidR="005621BD" w:rsidRPr="00565907">
        <w:rPr>
          <w:rFonts w:ascii="Times New Roman" w:hAnsi="Times New Roman"/>
          <w:b/>
          <w:sz w:val="28"/>
          <w:szCs w:val="28"/>
        </w:rPr>
        <w:t>разрешения на отклонение от предельных параметров разрешенного строительства, реконструкции объекта капитального строительства</w:t>
      </w:r>
    </w:p>
    <w:p w:rsidR="00FC5466" w:rsidRPr="00C61FAF" w:rsidRDefault="00FC5466" w:rsidP="00FC5466">
      <w:pPr>
        <w:spacing w:after="0"/>
        <w:rPr>
          <w:rFonts w:ascii="Times New Roman" w:hAnsi="Times New Roman"/>
          <w:b/>
          <w:sz w:val="16"/>
          <w:szCs w:val="16"/>
        </w:rPr>
      </w:pPr>
      <w:r w:rsidRPr="00603149">
        <w:rPr>
          <w:rFonts w:ascii="Times New Roman" w:hAnsi="Times New Roman"/>
          <w:b/>
          <w:sz w:val="26"/>
          <w:szCs w:val="26"/>
        </w:rPr>
        <w:t xml:space="preserve">      </w:t>
      </w:r>
    </w:p>
    <w:p w:rsidR="00FC5466" w:rsidRPr="00C61FAF" w:rsidRDefault="00FC5466" w:rsidP="00FC5466">
      <w:pPr>
        <w:spacing w:after="0"/>
        <w:ind w:firstLine="708"/>
        <w:jc w:val="both"/>
        <w:rPr>
          <w:rFonts w:ascii="Times New Roman" w:hAnsi="Times New Roman"/>
          <w:b/>
          <w:sz w:val="28"/>
          <w:szCs w:val="28"/>
        </w:rPr>
      </w:pPr>
      <w:r w:rsidRPr="00E87F4C">
        <w:rPr>
          <w:rFonts w:ascii="Times New Roman" w:hAnsi="Times New Roman"/>
          <w:sz w:val="28"/>
          <w:szCs w:val="28"/>
        </w:rPr>
        <w:t xml:space="preserve">Руководствуясь </w:t>
      </w:r>
      <w:r>
        <w:rPr>
          <w:rFonts w:ascii="Times New Roman" w:hAnsi="Times New Roman"/>
          <w:sz w:val="28"/>
          <w:szCs w:val="28"/>
        </w:rPr>
        <w:t xml:space="preserve">ч.2 ст.7.3 </w:t>
      </w:r>
      <w:r w:rsidRPr="00C61FAF">
        <w:rPr>
          <w:rFonts w:ascii="Times New Roman" w:hAnsi="Times New Roman"/>
          <w:sz w:val="28"/>
          <w:szCs w:val="28"/>
        </w:rPr>
        <w:t>Федеральн</w:t>
      </w:r>
      <w:r>
        <w:rPr>
          <w:rFonts w:ascii="Times New Roman" w:hAnsi="Times New Roman"/>
          <w:sz w:val="28"/>
          <w:szCs w:val="28"/>
        </w:rPr>
        <w:t>ого</w:t>
      </w:r>
      <w:r w:rsidRPr="00C61FAF">
        <w:rPr>
          <w:rFonts w:ascii="Times New Roman" w:hAnsi="Times New Roman"/>
          <w:sz w:val="28"/>
          <w:szCs w:val="28"/>
        </w:rPr>
        <w:t xml:space="preserve"> закон</w:t>
      </w:r>
      <w:r>
        <w:rPr>
          <w:rFonts w:ascii="Times New Roman" w:hAnsi="Times New Roman"/>
          <w:sz w:val="28"/>
          <w:szCs w:val="28"/>
        </w:rPr>
        <w:t>а</w:t>
      </w:r>
      <w:r w:rsidRPr="00C61FAF">
        <w:rPr>
          <w:rFonts w:ascii="Times New Roman" w:hAnsi="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sz w:val="28"/>
          <w:szCs w:val="28"/>
        </w:rPr>
        <w:t xml:space="preserve"> распоряжением Правительства Саратовской области от</w:t>
      </w:r>
      <w:r w:rsidRPr="00C61FAF">
        <w:rPr>
          <w:rFonts w:ascii="Times New Roman" w:hAnsi="Times New Roman"/>
          <w:sz w:val="28"/>
          <w:szCs w:val="28"/>
        </w:rPr>
        <w:t xml:space="preserve"> </w:t>
      </w:r>
      <w:r>
        <w:rPr>
          <w:rFonts w:ascii="Times New Roman" w:hAnsi="Times New Roman"/>
          <w:sz w:val="28"/>
          <w:szCs w:val="28"/>
        </w:rPr>
        <w:t>27.04.2021г №117-Пр, Ровенская районная администрация</w:t>
      </w:r>
      <w:r w:rsidRPr="00C61FAF">
        <w:rPr>
          <w:rFonts w:ascii="Times New Roman" w:hAnsi="Times New Roman"/>
          <w:sz w:val="28"/>
          <w:szCs w:val="28"/>
        </w:rPr>
        <w:t xml:space="preserve">, </w:t>
      </w:r>
      <w:r w:rsidRPr="00C61FAF">
        <w:rPr>
          <w:rFonts w:ascii="Times New Roman" w:hAnsi="Times New Roman"/>
          <w:b/>
          <w:sz w:val="28"/>
          <w:szCs w:val="28"/>
        </w:rPr>
        <w:t>ПОСТАНОВЛЯЕТ:</w:t>
      </w:r>
    </w:p>
    <w:p w:rsidR="00FC5466" w:rsidRPr="00E97D0A" w:rsidRDefault="00FC5466" w:rsidP="00FC5466">
      <w:pPr>
        <w:spacing w:after="0"/>
        <w:ind w:firstLine="709"/>
        <w:jc w:val="both"/>
        <w:rPr>
          <w:rFonts w:ascii="Times New Roman" w:hAnsi="Times New Roman"/>
          <w:sz w:val="28"/>
          <w:szCs w:val="28"/>
        </w:rPr>
      </w:pPr>
      <w:r>
        <w:rPr>
          <w:rFonts w:ascii="Times New Roman" w:hAnsi="Times New Roman"/>
          <w:sz w:val="28"/>
          <w:szCs w:val="28"/>
        </w:rPr>
        <w:t xml:space="preserve">1.Внести дополнения в </w:t>
      </w:r>
      <w:r w:rsidRPr="00E97D0A">
        <w:rPr>
          <w:rFonts w:ascii="Times New Roman" w:hAnsi="Times New Roman"/>
          <w:sz w:val="28"/>
          <w:szCs w:val="28"/>
        </w:rPr>
        <w:t xml:space="preserve">Административный регламент </w:t>
      </w:r>
      <w:r w:rsidR="005621BD" w:rsidRPr="005621BD">
        <w:rPr>
          <w:rFonts w:ascii="Times New Roman" w:hAnsi="Times New Roman"/>
          <w:sz w:val="28"/>
          <w:szCs w:val="28"/>
        </w:rPr>
        <w:t>по предоставлению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 утвержденный постановлением Ровенской районной администрацией Ровенского муниципального района от</w:t>
      </w:r>
      <w:r w:rsidR="005621BD">
        <w:rPr>
          <w:rFonts w:ascii="Times New Roman" w:hAnsi="Times New Roman"/>
          <w:sz w:val="28"/>
          <w:szCs w:val="28"/>
        </w:rPr>
        <w:t xml:space="preserve"> </w:t>
      </w:r>
      <w:r>
        <w:rPr>
          <w:rFonts w:ascii="Times New Roman" w:hAnsi="Times New Roman"/>
          <w:sz w:val="28"/>
          <w:szCs w:val="28"/>
        </w:rPr>
        <w:t>21.06.2022г №13</w:t>
      </w:r>
      <w:r w:rsidR="005621BD">
        <w:rPr>
          <w:rFonts w:ascii="Times New Roman" w:hAnsi="Times New Roman"/>
          <w:sz w:val="28"/>
          <w:szCs w:val="28"/>
        </w:rPr>
        <w:t>1</w:t>
      </w:r>
      <w:r>
        <w:rPr>
          <w:rFonts w:ascii="Times New Roman" w:hAnsi="Times New Roman"/>
          <w:sz w:val="28"/>
          <w:szCs w:val="28"/>
        </w:rPr>
        <w:t>:</w:t>
      </w:r>
    </w:p>
    <w:p w:rsidR="00FC5466" w:rsidRDefault="00FC5466" w:rsidP="00FC5466">
      <w:pPr>
        <w:pStyle w:val="ConsPlusNormal"/>
        <w:ind w:firstLine="567"/>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В  пункте 2.15. добавить подпункт, следующего содержания:</w:t>
      </w:r>
    </w:p>
    <w:p w:rsidR="00FC5466" w:rsidRPr="00747A52" w:rsidRDefault="00FC5466" w:rsidP="00FC546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«2.15.4. Муниципальная услуга не предоставляется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предусмотренном частью 1 статьи 7.3 Федерального закона «Об организации предоставления государственных и муниципальных услуг». </w:t>
      </w:r>
    </w:p>
    <w:p w:rsidR="00FC5466" w:rsidRPr="00536377" w:rsidRDefault="00FC5466" w:rsidP="00FC5466">
      <w:pPr>
        <w:spacing w:after="0" w:line="240" w:lineRule="auto"/>
        <w:ind w:firstLine="567"/>
        <w:jc w:val="both"/>
        <w:rPr>
          <w:rFonts w:ascii="Times New Roman" w:hAnsi="Times New Roman"/>
          <w:sz w:val="28"/>
          <w:szCs w:val="28"/>
        </w:rPr>
      </w:pPr>
      <w:r w:rsidRPr="00536377">
        <w:rPr>
          <w:rFonts w:ascii="Times New Roman" w:hAnsi="Times New Roman"/>
          <w:sz w:val="28"/>
          <w:szCs w:val="28"/>
        </w:rPr>
        <w:t>2. Отделу по взаимодействию с территориями, делопроизводству, организационной и контрольно-кадровой работе (Жукова Н.А.)  опубликовать настоящее постановление в средствах массовой информации и разместить на официальном сайте администрации Ровенского муниципального района.</w:t>
      </w:r>
    </w:p>
    <w:p w:rsidR="00FC5466" w:rsidRPr="00C61FAF" w:rsidRDefault="00FC5466" w:rsidP="00FC5466">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C61FAF">
        <w:rPr>
          <w:rFonts w:ascii="Times New Roman" w:hAnsi="Times New Roman"/>
          <w:sz w:val="28"/>
          <w:szCs w:val="28"/>
        </w:rPr>
        <w:t xml:space="preserve">Контроль за исполнением настоящего постановления возложить на заместителя главы Ровенской районной администрации по ЖКХ А. А. </w:t>
      </w:r>
      <w:proofErr w:type="spellStart"/>
      <w:r w:rsidRPr="00C61FAF">
        <w:rPr>
          <w:rFonts w:ascii="Times New Roman" w:hAnsi="Times New Roman"/>
          <w:sz w:val="28"/>
          <w:szCs w:val="28"/>
        </w:rPr>
        <w:t>Медугалиеву</w:t>
      </w:r>
      <w:proofErr w:type="spellEnd"/>
      <w:r w:rsidRPr="00C61FAF">
        <w:rPr>
          <w:rFonts w:ascii="Times New Roman" w:hAnsi="Times New Roman"/>
          <w:sz w:val="28"/>
          <w:szCs w:val="28"/>
        </w:rPr>
        <w:t>.</w:t>
      </w:r>
    </w:p>
    <w:p w:rsidR="00FC5466" w:rsidRPr="00B370C6" w:rsidRDefault="00FC5466" w:rsidP="00FC5466">
      <w:pPr>
        <w:spacing w:after="0"/>
        <w:ind w:left="360"/>
        <w:jc w:val="both"/>
        <w:rPr>
          <w:rFonts w:ascii="Times New Roman" w:hAnsi="Times New Roman"/>
          <w:sz w:val="28"/>
          <w:szCs w:val="28"/>
        </w:rPr>
      </w:pPr>
    </w:p>
    <w:p w:rsidR="00FC5466" w:rsidRPr="00B370C6" w:rsidRDefault="00FC5466" w:rsidP="00FC5466">
      <w:pPr>
        <w:spacing w:after="0"/>
        <w:jc w:val="both"/>
        <w:rPr>
          <w:rFonts w:ascii="Times New Roman" w:hAnsi="Times New Roman"/>
          <w:b/>
          <w:sz w:val="28"/>
          <w:szCs w:val="28"/>
        </w:rPr>
      </w:pPr>
      <w:r w:rsidRPr="00B370C6">
        <w:rPr>
          <w:rFonts w:ascii="Times New Roman" w:hAnsi="Times New Roman"/>
          <w:b/>
          <w:sz w:val="28"/>
          <w:szCs w:val="28"/>
        </w:rPr>
        <w:t>Глава Ровенско</w:t>
      </w:r>
      <w:r>
        <w:rPr>
          <w:rFonts w:ascii="Times New Roman" w:hAnsi="Times New Roman"/>
          <w:b/>
          <w:sz w:val="28"/>
          <w:szCs w:val="28"/>
        </w:rPr>
        <w:t>го</w:t>
      </w:r>
    </w:p>
    <w:p w:rsidR="00FC5466" w:rsidRDefault="00FC5466" w:rsidP="00FC5466">
      <w:pPr>
        <w:spacing w:after="0"/>
        <w:jc w:val="both"/>
        <w:rPr>
          <w:rFonts w:ascii="Times New Roman" w:hAnsi="Times New Roman"/>
          <w:b/>
          <w:sz w:val="28"/>
          <w:szCs w:val="28"/>
        </w:rPr>
      </w:pPr>
      <w:r>
        <w:rPr>
          <w:rFonts w:ascii="Times New Roman" w:hAnsi="Times New Roman"/>
          <w:b/>
          <w:sz w:val="28"/>
          <w:szCs w:val="28"/>
        </w:rPr>
        <w:t>муниципального района                                                                   В. С. Котов</w:t>
      </w:r>
    </w:p>
    <w:p w:rsidR="00FC5466" w:rsidRPr="00B54265" w:rsidRDefault="00FC5466" w:rsidP="00FC5466">
      <w:pPr>
        <w:pStyle w:val="afe"/>
        <w:widowControl w:val="0"/>
        <w:ind w:left="5040"/>
        <w:jc w:val="both"/>
        <w:rPr>
          <w:rFonts w:ascii="Times New Roman" w:hAnsi="Times New Roman"/>
          <w:spacing w:val="-6"/>
          <w:sz w:val="28"/>
          <w:szCs w:val="28"/>
        </w:rPr>
      </w:pPr>
    </w:p>
    <w:p w:rsidR="00FC5466" w:rsidRDefault="00FC5466">
      <w:pPr>
        <w:spacing w:after="0" w:line="240" w:lineRule="auto"/>
        <w:rPr>
          <w:rFonts w:ascii="Times New Roman" w:hAnsi="Times New Roman"/>
          <w:sz w:val="24"/>
          <w:szCs w:val="24"/>
        </w:rPr>
      </w:pPr>
    </w:p>
    <w:p w:rsidR="0098428A" w:rsidRPr="0098428A" w:rsidRDefault="0098428A" w:rsidP="0098428A">
      <w:pPr>
        <w:spacing w:after="0" w:line="240" w:lineRule="auto"/>
        <w:ind w:left="5220"/>
        <w:rPr>
          <w:rFonts w:ascii="Times New Roman" w:hAnsi="Times New Roman"/>
        </w:rPr>
      </w:pPr>
      <w:r w:rsidRPr="0098428A">
        <w:rPr>
          <w:rFonts w:ascii="Times New Roman" w:hAnsi="Times New Roman"/>
        </w:rPr>
        <w:t>Приложение  к постановлению администрации Ровенского муниципального района</w:t>
      </w:r>
    </w:p>
    <w:p w:rsidR="0098428A" w:rsidRPr="0098428A" w:rsidRDefault="0098428A" w:rsidP="0098428A">
      <w:pPr>
        <w:spacing w:after="0" w:line="240" w:lineRule="auto"/>
        <w:ind w:left="5220"/>
        <w:rPr>
          <w:rFonts w:ascii="Times New Roman" w:hAnsi="Times New Roman"/>
        </w:rPr>
      </w:pPr>
      <w:r w:rsidRPr="0098428A">
        <w:rPr>
          <w:rFonts w:ascii="Times New Roman" w:hAnsi="Times New Roman"/>
        </w:rPr>
        <w:t>от ____________________ года  № _____</w:t>
      </w:r>
    </w:p>
    <w:p w:rsidR="00641A45" w:rsidRPr="00565907" w:rsidRDefault="00641A45" w:rsidP="005A7931">
      <w:pPr>
        <w:keepNext/>
        <w:spacing w:after="0" w:line="240" w:lineRule="auto"/>
        <w:ind w:right="-1"/>
        <w:jc w:val="center"/>
        <w:outlineLvl w:val="0"/>
        <w:rPr>
          <w:rFonts w:ascii="Times New Roman" w:hAnsi="Times New Roman"/>
          <w:b/>
          <w:bCs/>
          <w:sz w:val="28"/>
          <w:szCs w:val="20"/>
          <w:lang w:eastAsia="zh-CN"/>
        </w:rPr>
      </w:pPr>
    </w:p>
    <w:p w:rsidR="0098428A" w:rsidRDefault="0098428A">
      <w:pPr>
        <w:spacing w:after="0" w:line="240" w:lineRule="auto"/>
        <w:rPr>
          <w:rFonts w:ascii="Times New Roman" w:hAnsi="Times New Roman"/>
          <w:b/>
          <w:bCs/>
          <w:sz w:val="28"/>
          <w:szCs w:val="20"/>
          <w:lang w:eastAsia="zh-CN"/>
        </w:rPr>
      </w:pPr>
    </w:p>
    <w:p w:rsidR="003C32D7" w:rsidRPr="00565907" w:rsidRDefault="003127D1"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5A7931">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D02665" w:rsidRPr="00565907">
        <w:rPr>
          <w:rFonts w:ascii="Times New Roman" w:hAnsi="Times New Roman"/>
          <w:b/>
          <w:bCs/>
          <w:sz w:val="28"/>
          <w:szCs w:val="20"/>
          <w:lang w:eastAsia="zh-CN"/>
        </w:rPr>
        <w:t>государственной (муниципальной)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3" w:name="_Hlk40972767"/>
      <w:bookmarkStart w:id="4" w:name="_Hlk41043988"/>
      <w:bookmarkStart w:id="5"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государственной (муниципальной)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D02665" w:rsidRPr="00565907">
        <w:rPr>
          <w:rFonts w:ascii="Times New Roman" w:hAnsi="Times New Roman"/>
          <w:spacing w:val="1"/>
          <w:sz w:val="28"/>
          <w:szCs w:val="28"/>
        </w:rPr>
        <w:t>государственной (муниципальной)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5E4F9D" w:rsidRPr="00565907">
        <w:rPr>
          <w:rFonts w:ascii="Times New Roman" w:hAnsi="Times New Roman"/>
          <w:i/>
          <w:sz w:val="28"/>
          <w:szCs w:val="28"/>
        </w:rPr>
        <w:t>(</w:t>
      </w:r>
      <w:proofErr w:type="spellStart"/>
      <w:r w:rsidR="003127D1">
        <w:rPr>
          <w:rFonts w:ascii="Times New Roman" w:hAnsi="Times New Roman"/>
          <w:i/>
          <w:sz w:val="28"/>
          <w:szCs w:val="28"/>
          <w:lang w:val="en-US"/>
        </w:rPr>
        <w:t>rovnoe</w:t>
      </w:r>
      <w:proofErr w:type="spellEnd"/>
      <w:r w:rsidR="003127D1" w:rsidRPr="003127D1">
        <w:rPr>
          <w:rFonts w:ascii="Times New Roman" w:hAnsi="Times New Roman"/>
          <w:i/>
          <w:sz w:val="28"/>
          <w:szCs w:val="28"/>
        </w:rPr>
        <w:t>.</w:t>
      </w:r>
      <w:proofErr w:type="spellStart"/>
      <w:r w:rsidR="003127D1">
        <w:rPr>
          <w:rFonts w:ascii="Times New Roman" w:hAnsi="Times New Roman"/>
          <w:i/>
          <w:sz w:val="28"/>
          <w:szCs w:val="28"/>
          <w:lang w:val="en-US"/>
        </w:rPr>
        <w:t>sarmo</w:t>
      </w:r>
      <w:proofErr w:type="spellEnd"/>
      <w:r w:rsidR="003127D1" w:rsidRPr="003127D1">
        <w:rPr>
          <w:rFonts w:ascii="Times New Roman" w:hAnsi="Times New Roman"/>
          <w:i/>
          <w:sz w:val="28"/>
          <w:szCs w:val="28"/>
        </w:rPr>
        <w:t>.</w:t>
      </w:r>
      <w:proofErr w:type="spellStart"/>
      <w:r w:rsidR="003127D1">
        <w:rPr>
          <w:rFonts w:ascii="Times New Roman" w:hAnsi="Times New Roman"/>
          <w:i/>
          <w:sz w:val="28"/>
          <w:szCs w:val="28"/>
          <w:lang w:val="en-US"/>
        </w:rPr>
        <w:t>ru</w:t>
      </w:r>
      <w:proofErr w:type="spellEnd"/>
      <w:r w:rsidR="005E4F9D" w:rsidRPr="00565907">
        <w:rPr>
          <w:rFonts w:ascii="Times New Roman" w:hAnsi="Times New Roman"/>
          <w:i/>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5E4F9D" w:rsidRPr="00565907">
        <w:rPr>
          <w:rFonts w:ascii="Times New Roman" w:hAnsi="Times New Roman"/>
          <w:i/>
          <w:sz w:val="28"/>
          <w:szCs w:val="28"/>
        </w:rPr>
        <w:t xml:space="preserve">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xml:space="preserve">:// </w:t>
      </w:r>
      <w:proofErr w:type="spellStart"/>
      <w:r w:rsidRPr="00565907">
        <w:rPr>
          <w:rFonts w:ascii="Times New Roman" w:hAnsi="Times New Roman"/>
          <w:spacing w:val="1"/>
          <w:sz w:val="28"/>
          <w:szCs w:val="28"/>
        </w:rPr>
        <w:t>www.gosuslugi.ru</w:t>
      </w:r>
      <w:proofErr w:type="spellEnd"/>
      <w:r w:rsidRPr="00565907">
        <w:rPr>
          <w:rFonts w:ascii="Times New Roman" w:hAnsi="Times New Roman"/>
          <w:spacing w:val="1"/>
          <w:sz w:val="28"/>
          <w:szCs w:val="28"/>
        </w:rPr>
        <w:t>/)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AA12FF" w:rsidRPr="00AA12FF">
        <w:rPr>
          <w:rFonts w:ascii="Times New Roman" w:hAnsi="Times New Roman"/>
          <w:spacing w:val="1"/>
          <w:sz w:val="28"/>
          <w:szCs w:val="28"/>
        </w:rPr>
        <w:lastRenderedPageBreak/>
        <w:t>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D02665" w:rsidRPr="00565907">
        <w:rPr>
          <w:rFonts w:ascii="Times New Roman" w:hAnsi="Times New Roman"/>
          <w:spacing w:val="1"/>
          <w:sz w:val="28"/>
          <w:szCs w:val="28"/>
        </w:rPr>
        <w:t>государственной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D02665" w:rsidRPr="00565907">
        <w:rPr>
          <w:rFonts w:ascii="Times New Roman" w:hAnsi="Times New Roman"/>
          <w:spacing w:val="1"/>
          <w:sz w:val="28"/>
          <w:szCs w:val="28"/>
        </w:rPr>
        <w:t>государственной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и о результатах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3"/>
    <w:bookmarkEnd w:id="4"/>
    <w:bookmarkEnd w:id="5"/>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D02665" w:rsidRPr="00565907">
        <w:rPr>
          <w:rFonts w:ascii="Times New Roman" w:hAnsi="Times New Roman"/>
          <w:b/>
          <w:bCs/>
          <w:sz w:val="28"/>
          <w:szCs w:val="28"/>
        </w:rPr>
        <w:t>государственной (муниципальной)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3271C5" w:rsidRDefault="003271C5" w:rsidP="005A7931">
      <w:pPr>
        <w:autoSpaceDE w:val="0"/>
        <w:autoSpaceDN w:val="0"/>
        <w:adjustRightInd w:val="0"/>
        <w:spacing w:after="0" w:line="240" w:lineRule="auto"/>
        <w:ind w:right="-1" w:firstLine="709"/>
        <w:jc w:val="both"/>
        <w:rPr>
          <w:rFonts w:ascii="Times New Roman" w:hAnsi="Times New Roman"/>
          <w:sz w:val="28"/>
          <w:szCs w:val="28"/>
        </w:rPr>
      </w:pPr>
      <w:r w:rsidRPr="003271C5">
        <w:rPr>
          <w:rFonts w:ascii="Times New Roman" w:hAnsi="Times New Roman"/>
          <w:sz w:val="28"/>
          <w:szCs w:val="28"/>
        </w:rPr>
        <w:t>Ровенская районная администрация Ровенского муниципального района Саратовской области</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государственной (муниципальной)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D02665" w:rsidRPr="00565907">
        <w:rPr>
          <w:rFonts w:ascii="Times New Roman" w:hAnsi="Times New Roman"/>
          <w:sz w:val="28"/>
          <w:szCs w:val="28"/>
          <w:lang w:bidi="ru-RU"/>
        </w:rPr>
        <w:t>государственной (муниципальной)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числе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государственной (муниципальной)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w:t>
      </w:r>
      <w:r w:rsidR="00EF6BD8" w:rsidRPr="00565907">
        <w:rPr>
          <w:rFonts w:ascii="Times New Roman" w:hAnsi="Times New Roman"/>
          <w:sz w:val="28"/>
          <w:szCs w:val="28"/>
        </w:rPr>
        <w:lastRenderedPageBreak/>
        <w:t xml:space="preserve">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3D628A" w:rsidRPr="00565907">
        <w:rPr>
          <w:rFonts w:ascii="Times New Roman" w:hAnsi="Times New Roman"/>
          <w:sz w:val="28"/>
          <w:szCs w:val="28"/>
        </w:rPr>
        <w:t xml:space="preserve">государственной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D02665" w:rsidRPr="00565907">
        <w:rPr>
          <w:rFonts w:ascii="Times New Roman" w:hAnsi="Times New Roman"/>
          <w:sz w:val="28"/>
          <w:szCs w:val="28"/>
        </w:rPr>
        <w:t>государственной (муниципальной)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 xml:space="preserve">ованиями Федерального закона </w:t>
      </w:r>
      <w:r w:rsidR="003D628A" w:rsidRPr="00565907">
        <w:rPr>
          <w:rFonts w:ascii="Times New Roman" w:hAnsi="Times New Roman"/>
          <w:sz w:val="28"/>
          <w:szCs w:val="28"/>
        </w:rPr>
        <w:lastRenderedPageBreak/>
        <w:t>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которые находятся в распоряжении государственных </w:t>
      </w:r>
      <w:r w:rsidR="00613925" w:rsidRPr="00565907">
        <w:rPr>
          <w:rFonts w:ascii="Times New Roman" w:hAnsi="Times New Roman"/>
          <w:sz w:val="28"/>
          <w:szCs w:val="28"/>
        </w:rPr>
        <w:lastRenderedPageBreak/>
        <w:t>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D02665" w:rsidRPr="00565907">
        <w:rPr>
          <w:rFonts w:ascii="Times New Roman" w:hAnsi="Times New Roman"/>
          <w:sz w:val="28"/>
          <w:szCs w:val="28"/>
        </w:rPr>
        <w:t>государственной (муниципальной)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государственной (муниципальной)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xml:space="preserve">, расположенный в пределах границ территориальной зоны, обозначенной на карте градостроительного зонирования, утвержденной </w:t>
      </w:r>
      <w:r w:rsidR="00EF710F" w:rsidRPr="00565907">
        <w:rPr>
          <w:rFonts w:ascii="Times New Roman" w:hAnsi="Times New Roman"/>
          <w:sz w:val="28"/>
          <w:szCs w:val="28"/>
        </w:rPr>
        <w:lastRenderedPageBreak/>
        <w:t>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3271C5" w:rsidRDefault="003271C5" w:rsidP="004058F5">
      <w:pPr>
        <w:tabs>
          <w:tab w:val="num" w:pos="370"/>
        </w:tabs>
        <w:spacing w:after="0" w:line="240" w:lineRule="auto"/>
        <w:ind w:right="-1" w:firstLine="709"/>
        <w:jc w:val="both"/>
        <w:rPr>
          <w:rFonts w:ascii="Times New Roman" w:hAnsi="Times New Roman"/>
          <w:sz w:val="28"/>
          <w:szCs w:val="28"/>
        </w:rPr>
      </w:pPr>
      <w:r w:rsidRPr="003271C5">
        <w:rPr>
          <w:rFonts w:ascii="Times New Roman" w:hAnsi="Times New Roman"/>
          <w:sz w:val="28"/>
          <w:szCs w:val="28"/>
        </w:rPr>
        <w:t>М</w:t>
      </w:r>
      <w:r w:rsidR="00D02665" w:rsidRPr="003271C5">
        <w:rPr>
          <w:rFonts w:ascii="Times New Roman" w:hAnsi="Times New Roman"/>
          <w:sz w:val="28"/>
          <w:szCs w:val="28"/>
        </w:rPr>
        <w:t>униципальная</w:t>
      </w:r>
      <w:r w:rsidR="00FD4984" w:rsidRPr="003271C5">
        <w:rPr>
          <w:rFonts w:ascii="Times New Roman" w:hAnsi="Times New Roman"/>
          <w:sz w:val="28"/>
          <w:szCs w:val="28"/>
        </w:rPr>
        <w:t xml:space="preserve"> </w:t>
      </w:r>
      <w:r w:rsidR="00613925" w:rsidRPr="003271C5">
        <w:rPr>
          <w:rFonts w:ascii="Times New Roman" w:hAnsi="Times New Roman"/>
          <w:sz w:val="28"/>
          <w:szCs w:val="28"/>
        </w:rPr>
        <w:t xml:space="preserve">услуга предоставляется </w:t>
      </w:r>
      <w:r w:rsidR="00FD4984" w:rsidRPr="003271C5">
        <w:rPr>
          <w:rFonts w:ascii="Times New Roman" w:hAnsi="Times New Roman"/>
          <w:sz w:val="28"/>
          <w:szCs w:val="28"/>
        </w:rPr>
        <w:t>заявителям бесплатно.</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Pr>
          <w:rFonts w:ascii="Times New Roman" w:hAnsi="Times New Roman"/>
          <w:sz w:val="28"/>
          <w:szCs w:val="28"/>
        </w:rPr>
        <w:t>государственной (</w:t>
      </w:r>
      <w:r w:rsidRPr="00120DF0">
        <w:rPr>
          <w:rFonts w:ascii="Times New Roman" w:hAnsi="Times New Roman"/>
          <w:sz w:val="28"/>
          <w:szCs w:val="28"/>
        </w:rPr>
        <w:t>муниципальной</w:t>
      </w:r>
      <w:r>
        <w:rPr>
          <w:rFonts w:ascii="Times New Roman" w:hAnsi="Times New Roman"/>
          <w:sz w:val="28"/>
          <w:szCs w:val="28"/>
        </w:rPr>
        <w:t>)</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государственной (муниципальной)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Визуальная, текстовая и мультимедийная информация о порядке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средств, используемых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д) получить результат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FC5466" w:rsidRPr="00565907" w:rsidRDefault="00FC5466" w:rsidP="009D0121">
      <w:pPr>
        <w:suppressAutoHyphens/>
        <w:spacing w:after="0" w:line="240" w:lineRule="auto"/>
        <w:ind w:right="-1" w:firstLine="709"/>
        <w:jc w:val="both"/>
        <w:rPr>
          <w:rFonts w:ascii="Times New Roman" w:hAnsi="Times New Roman"/>
          <w:sz w:val="28"/>
          <w:szCs w:val="28"/>
        </w:rPr>
      </w:pPr>
      <w:r w:rsidRPr="00FC5466">
        <w:rPr>
          <w:rFonts w:ascii="Times New Roman" w:hAnsi="Times New Roman"/>
          <w:sz w:val="28"/>
          <w:szCs w:val="28"/>
          <w:highlight w:val="yellow"/>
        </w:rPr>
        <w:t>2.15.4. Муниципальная услуга не предоставляется в упреждающем (</w:t>
      </w:r>
      <w:proofErr w:type="spellStart"/>
      <w:r w:rsidRPr="00FC5466">
        <w:rPr>
          <w:rFonts w:ascii="Times New Roman" w:hAnsi="Times New Roman"/>
          <w:sz w:val="28"/>
          <w:szCs w:val="28"/>
          <w:highlight w:val="yellow"/>
        </w:rPr>
        <w:t>проактивном</w:t>
      </w:r>
      <w:proofErr w:type="spellEnd"/>
      <w:r w:rsidRPr="00FC5466">
        <w:rPr>
          <w:rFonts w:ascii="Times New Roman" w:hAnsi="Times New Roman"/>
          <w:sz w:val="28"/>
          <w:szCs w:val="28"/>
          <w:highlight w:val="yellow"/>
        </w:rPr>
        <w:t>) режиме, предусмотренном частью 1 статьи 7.3 Федерального закона «Об организации предоставления государственных и муниципальных услуг</w:t>
      </w:r>
    </w:p>
    <w:p w:rsidR="005A7931" w:rsidRPr="00565907" w:rsidRDefault="005A7931" w:rsidP="009D0121">
      <w:pPr>
        <w:suppressAutoHyphens/>
        <w:spacing w:after="0" w:line="240" w:lineRule="auto"/>
        <w:ind w:right="-1" w:firstLine="709"/>
        <w:jc w:val="both"/>
        <w:rPr>
          <w:rFonts w:ascii="Times New Roman" w:hAnsi="Times New Roman"/>
          <w:i/>
          <w:sz w:val="28"/>
          <w:szCs w:val="28"/>
        </w:rPr>
      </w:pP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государственной (муниципальной)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 xml:space="preserve">рекомендаций Комиссии по подготовке проекта правил землепользования и застройки о предоставлении разрешения отклонение от </w:t>
      </w:r>
      <w:r w:rsidR="008F35FE" w:rsidRPr="00565907">
        <w:rPr>
          <w:rFonts w:ascii="Times New Roman" w:hAnsi="Times New Roman"/>
          <w:sz w:val="28"/>
          <w:szCs w:val="28"/>
        </w:rPr>
        <w:lastRenderedPageBreak/>
        <w:t>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государ</w:t>
      </w:r>
      <w:r w:rsidR="00E54F3F">
        <w:rPr>
          <w:rFonts w:ascii="Times New Roman" w:hAnsi="Times New Roman"/>
          <w:sz w:val="28"/>
          <w:szCs w:val="28"/>
        </w:rPr>
        <w:t>ственной (муниципальной)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C6439D"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 </w:t>
      </w:r>
      <w:r w:rsidR="00C6439D" w:rsidRPr="00C6439D">
        <w:rPr>
          <w:rFonts w:ascii="Times New Roman" w:hAnsi="Times New Roman"/>
          <w:sz w:val="28"/>
          <w:szCs w:val="28"/>
        </w:rPr>
        <w:t>заместителем главы районной администрации по ЖКХ</w:t>
      </w:r>
      <w:r w:rsidR="0049187F" w:rsidRPr="00C6439D">
        <w:rPr>
          <w:rFonts w:ascii="Times New Roman" w:hAnsi="Times New Roman"/>
          <w:sz w:val="28"/>
          <w:szCs w:val="28"/>
        </w:rPr>
        <w:t xml:space="preserve">. </w:t>
      </w:r>
    </w:p>
    <w:p w:rsidR="0049187F" w:rsidRPr="00C6439D"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C6439D">
        <w:rPr>
          <w:rFonts w:ascii="Times New Roman" w:eastAsia="Calibri" w:hAnsi="Times New Roman"/>
          <w:sz w:val="28"/>
          <w:szCs w:val="28"/>
          <w:lang w:eastAsia="en-US"/>
        </w:rPr>
        <w:t>4.1.1</w:t>
      </w:r>
      <w:r w:rsidR="0049187F" w:rsidRPr="00C6439D">
        <w:rPr>
          <w:rFonts w:ascii="Times New Roman" w:eastAsia="Calibri" w:hAnsi="Times New Roman"/>
          <w:sz w:val="28"/>
          <w:szCs w:val="28"/>
          <w:lang w:eastAsia="en-US"/>
        </w:rPr>
        <w:t xml:space="preserve">. </w:t>
      </w:r>
      <w:r w:rsidR="0049187F" w:rsidRPr="00C6439D">
        <w:rPr>
          <w:rFonts w:ascii="Times New Roman" w:hAnsi="Times New Roman"/>
          <w:sz w:val="28"/>
          <w:szCs w:val="28"/>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D02665" w:rsidRPr="00C6439D">
        <w:rPr>
          <w:rFonts w:ascii="Times New Roman" w:hAnsi="Times New Roman"/>
          <w:sz w:val="28"/>
          <w:szCs w:val="28"/>
        </w:rPr>
        <w:t>государственной (муниципальной)</w:t>
      </w:r>
      <w:r w:rsidR="00C6439D">
        <w:rPr>
          <w:rFonts w:ascii="Times New Roman" w:hAnsi="Times New Roman"/>
          <w:sz w:val="28"/>
          <w:szCs w:val="28"/>
        </w:rPr>
        <w:t xml:space="preserve"> услуги осуществляется руководителем органа</w:t>
      </w:r>
      <w:r w:rsidR="0049187F" w:rsidRPr="00C6439D">
        <w:rPr>
          <w:rFonts w:ascii="Times New Roman" w:eastAsia="Calibri" w:hAnsi="Times New Roman"/>
          <w:sz w:val="28"/>
          <w:szCs w:val="28"/>
          <w:lang w:eastAsia="en-US"/>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r w:rsidR="0049187F" w:rsidRPr="00565907">
        <w:rPr>
          <w:rFonts w:ascii="Times New Roman" w:hAnsi="Times New Roman"/>
          <w:sz w:val="28"/>
          <w:szCs w:val="28"/>
        </w:rPr>
        <w:t xml:space="preserve">Контроль за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органа</w:t>
      </w:r>
      <w:r w:rsidR="00C6439D">
        <w:rPr>
          <w:rFonts w:ascii="Times New Roman" w:hAnsi="Times New Roman"/>
          <w:sz w:val="28"/>
          <w:szCs w:val="28"/>
        </w:rPr>
        <w:t>.</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 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565907">
        <w:rPr>
          <w:rFonts w:ascii="Times New Roman" w:eastAsia="Calibri" w:hAnsi="Times New Roman"/>
          <w:sz w:val="28"/>
          <w:szCs w:val="28"/>
        </w:rPr>
        <w:t>государственной (муниципальной)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lastRenderedPageBreak/>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D02665" w:rsidRPr="00565907">
        <w:rPr>
          <w:rFonts w:ascii="Times New Roman" w:hAnsi="Times New Roman" w:cs="Times New Roman"/>
          <w:sz w:val="28"/>
          <w:szCs w:val="28"/>
        </w:rPr>
        <w:t>государственной (муниципальной)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Контроль за предоставлением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565907">
        <w:rPr>
          <w:b/>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5.1. Получатели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w:t>
      </w:r>
      <w:bookmarkStart w:id="7"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7"/>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w:t>
      </w:r>
      <w:r w:rsidRPr="00565907">
        <w:rPr>
          <w:rFonts w:ascii="Times New Roman" w:hAnsi="Times New Roman"/>
          <w:sz w:val="28"/>
          <w:szCs w:val="28"/>
        </w:rPr>
        <w:lastRenderedPageBreak/>
        <w:t>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xml:space="preserve">, многофункционального центра, работника </w:t>
      </w:r>
      <w:r w:rsidR="00BC4960" w:rsidRPr="00565907">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67743C">
        <w:rPr>
          <w:rFonts w:ascii="Times New Roman" w:hAnsi="Times New Roman"/>
          <w:sz w:val="28"/>
          <w:szCs w:val="28"/>
        </w:rPr>
        <w:t>1 рабочего дня.</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7743C">
        <w:rPr>
          <w:rFonts w:ascii="Times New Roman" w:hAnsi="Times New Roman"/>
          <w:sz w:val="28"/>
          <w:szCs w:val="28"/>
        </w:rPr>
        <w:t>15рабочих дней</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67743C">
        <w:rPr>
          <w:rFonts w:ascii="Times New Roman" w:hAnsi="Times New Roman"/>
          <w:sz w:val="28"/>
          <w:szCs w:val="28"/>
        </w:rPr>
        <w:t xml:space="preserve"> 30 рабочих дней</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государственной (муниципальной) услуги « </w:t>
      </w:r>
      <w:r w:rsidR="00CD11B9" w:rsidRPr="00565907">
        <w:rPr>
          <w:color w:val="000000"/>
          <w:lang w:bidi="ru-RU"/>
        </w:rPr>
        <w:t>_____________________</w:t>
      </w:r>
      <w:r w:rsidRPr="00565907">
        <w:rPr>
          <w:color w:val="000000"/>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47760" w:rsidRPr="00565907">
        <w:rPr>
          <w:i/>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00CD11B9" w:rsidRPr="00565907">
        <w:rPr>
          <w:rFonts w:ascii="Times New Roman" w:hAnsi="Times New Roman" w:cs="Times New Roman"/>
          <w:i/>
        </w:rPr>
        <w:t xml:space="preserve"> </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66740F" w:rsidRPr="00565907">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lastRenderedPageBreak/>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D02665" w:rsidRPr="00565907">
        <w:rPr>
          <w:rFonts w:ascii="Times New Roman" w:hAnsi="Times New Roman"/>
          <w:i/>
          <w:color w:val="000000"/>
          <w:sz w:val="28"/>
          <w:szCs w:val="28"/>
        </w:rPr>
        <w:t>государственной (муниципальной)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к Административному регламенту по предоставлению государственной (муниципальной)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8" w:name="OLE_LINK459"/>
      <w:bookmarkStart w:id="9"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8"/>
      <w:bookmarkEnd w:id="9"/>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10" w:name="OLE_LINK456"/>
      <w:bookmarkStart w:id="11" w:name="OLE_LINK457"/>
      <w:bookmarkStart w:id="12"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10"/>
      <w:bookmarkEnd w:id="11"/>
      <w:bookmarkEnd w:id="12"/>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к Административному регламенту по предоставлению государственной (муниципальной)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C62CA7" w:rsidRPr="00901CDD" w:rsidRDefault="00C62CA7" w:rsidP="00C62CA7">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proofErr w:type="gramStart"/>
      <w:r w:rsidR="00024890" w:rsidRPr="00565907">
        <w:rPr>
          <w:rFonts w:ascii="Times New Roman" w:hAnsi="Times New Roman"/>
          <w:i/>
          <w:iCs/>
          <w:sz w:val="28"/>
          <w:szCs w:val="28"/>
          <w:lang w:bidi="ru-RU"/>
        </w:rPr>
        <w:t>–д</w:t>
      </w:r>
      <w:proofErr w:type="gramEnd"/>
      <w:r w:rsidR="00024890" w:rsidRPr="00565907">
        <w:rPr>
          <w:rFonts w:ascii="Times New Roman" w:hAnsi="Times New Roman"/>
          <w:i/>
          <w:iCs/>
          <w:sz w:val="28"/>
          <w:szCs w:val="28"/>
          <w:lang w:bidi="ru-RU"/>
        </w:rPr>
        <w:t>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государственной (муниципальной)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государственной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9"/>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r w:rsidRPr="00FC43B3">
              <w:rPr>
                <w:rFonts w:ascii="Times New Roman" w:hAnsi="Times New Roman"/>
                <w:b/>
                <w:sz w:val="24"/>
                <w:szCs w:val="24"/>
              </w:rPr>
              <w:t>административно-го</w:t>
            </w:r>
            <w:proofErr w:type="spell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E79F4">
              <w:rPr>
                <w:rFonts w:ascii="Times New Roman" w:hAnsi="Times New Roman"/>
                <w:sz w:val="24"/>
                <w:szCs w:val="24"/>
              </w:rPr>
              <w:t>государственной (</w:t>
            </w:r>
            <w:r w:rsidRPr="005A1748">
              <w:rPr>
                <w:rFonts w:ascii="Times New Roman" w:hAnsi="Times New Roman"/>
                <w:sz w:val="24"/>
                <w:szCs w:val="24"/>
              </w:rPr>
              <w:t>муниципальной</w:t>
            </w:r>
            <w:r w:rsidR="00BE79F4">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t xml:space="preserve">государственной </w:t>
            </w:r>
            <w:r w:rsidR="00BE79F4"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государственной (муниципаль</w:t>
            </w:r>
            <w:r w:rsidR="00BE79F4" w:rsidRPr="00BE79F4">
              <w:rPr>
                <w:rFonts w:ascii="Times New Roman" w:hAnsi="Times New Roman"/>
                <w:sz w:val="24"/>
                <w:szCs w:val="24"/>
              </w:rPr>
              <w:lastRenderedPageBreak/>
              <w:t xml:space="preserve">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w:t>
            </w:r>
            <w:r w:rsidRPr="00C62445">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w:t>
            </w:r>
            <w:r w:rsidRPr="00C62445">
              <w:rPr>
                <w:rFonts w:ascii="Times New Roman" w:hAnsi="Times New Roman"/>
                <w:sz w:val="24"/>
                <w:szCs w:val="24"/>
              </w:rPr>
              <w:lastRenderedPageBreak/>
              <w:t>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w:t>
            </w:r>
            <w:r w:rsidR="00BE79F4" w:rsidRPr="00BE79F4">
              <w:rPr>
                <w:rFonts w:ascii="Times New Roman" w:hAnsi="Times New Roman"/>
                <w:sz w:val="24"/>
                <w:szCs w:val="24"/>
              </w:rPr>
              <w:lastRenderedPageBreak/>
              <w:t xml:space="preserve">нной (муниципальной)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lastRenderedPageBreak/>
              <w:t>Уполномоченный орган)/</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w:t>
            </w:r>
            <w:r>
              <w:rPr>
                <w:rFonts w:ascii="Times New Roman" w:hAnsi="Times New Roman"/>
                <w:sz w:val="24"/>
                <w:szCs w:val="24"/>
              </w:rPr>
              <w:lastRenderedPageBreak/>
              <w:t>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sidR="0056645E">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56645E">
              <w:rPr>
                <w:rFonts w:ascii="Times New Roman" w:hAnsi="Times New Roman"/>
                <w:sz w:val="24"/>
                <w:szCs w:val="24"/>
              </w:rPr>
              <w:t>государственной (муниципаль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spellStart"/>
            <w:r w:rsidRPr="009D024C">
              <w:rPr>
                <w:rFonts w:ascii="Times New Roman" w:hAnsi="Times New Roman"/>
                <w:sz w:val="24"/>
                <w:szCs w:val="24"/>
              </w:rPr>
              <w:lastRenderedPageBreak/>
              <w:t>Руководи</w:t>
            </w:r>
            <w:r w:rsidR="0056645E">
              <w:rPr>
                <w:rFonts w:ascii="Times New Roman" w:hAnsi="Times New Roman"/>
                <w:sz w:val="24"/>
                <w:szCs w:val="24"/>
              </w:rPr>
              <w:t>-</w:t>
            </w:r>
            <w:r w:rsidRPr="009D024C">
              <w:rPr>
                <w:rFonts w:ascii="Times New Roman" w:hAnsi="Times New Roman"/>
                <w:sz w:val="24"/>
                <w:szCs w:val="24"/>
              </w:rPr>
              <w:t>тель</w:t>
            </w:r>
            <w:proofErr w:type="spell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w:t>
            </w:r>
            <w:r w:rsidRPr="001F52BB">
              <w:rPr>
                <w:rFonts w:ascii="Times New Roman" w:eastAsia="Calibri" w:hAnsi="Times New Roman"/>
                <w:color w:val="000000"/>
                <w:sz w:val="24"/>
                <w:szCs w:val="24"/>
              </w:rPr>
              <w:lastRenderedPageBreak/>
              <w:t>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государственной (муниципальной)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9E" w:rsidRDefault="00E55C9E" w:rsidP="00485885">
      <w:pPr>
        <w:spacing w:after="0" w:line="240" w:lineRule="auto"/>
      </w:pPr>
      <w:r>
        <w:separator/>
      </w:r>
    </w:p>
  </w:endnote>
  <w:endnote w:type="continuationSeparator" w:id="0">
    <w:p w:rsidR="00E55C9E" w:rsidRDefault="00E55C9E"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9E" w:rsidRDefault="00E55C9E" w:rsidP="00485885">
      <w:pPr>
        <w:spacing w:after="0" w:line="240" w:lineRule="auto"/>
      </w:pPr>
      <w:r>
        <w:separator/>
      </w:r>
    </w:p>
  </w:footnote>
  <w:footnote w:type="continuationSeparator" w:id="0">
    <w:p w:rsidR="00E55C9E" w:rsidRDefault="00E55C9E"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2A7565" w:rsidRDefault="003018ED">
        <w:pPr>
          <w:pStyle w:val="a3"/>
          <w:jc w:val="center"/>
        </w:pPr>
        <w:r>
          <w:rPr>
            <w:noProof/>
          </w:rPr>
          <w:fldChar w:fldCharType="begin"/>
        </w:r>
        <w:r w:rsidR="002A7565">
          <w:rPr>
            <w:noProof/>
          </w:rPr>
          <w:instrText>PAGE   \* MERGEFORMAT</w:instrText>
        </w:r>
        <w:r>
          <w:rPr>
            <w:noProof/>
          </w:rPr>
          <w:fldChar w:fldCharType="separate"/>
        </w:r>
        <w:r w:rsidR="00B66BBB">
          <w:rPr>
            <w:noProof/>
          </w:rPr>
          <w:t>2</w:t>
        </w:r>
        <w:r>
          <w:rPr>
            <w:noProof/>
          </w:rPr>
          <w:fldChar w:fldCharType="end"/>
        </w:r>
      </w:p>
    </w:sdtContent>
  </w:sdt>
  <w:p w:rsidR="002A7565" w:rsidRDefault="002A75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4422"/>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77995"/>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40E4"/>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18ED"/>
    <w:rsid w:val="00304388"/>
    <w:rsid w:val="00304871"/>
    <w:rsid w:val="00305E91"/>
    <w:rsid w:val="0031035D"/>
    <w:rsid w:val="0031076F"/>
    <w:rsid w:val="00310C3E"/>
    <w:rsid w:val="00311FC0"/>
    <w:rsid w:val="003127D1"/>
    <w:rsid w:val="00312888"/>
    <w:rsid w:val="0031442D"/>
    <w:rsid w:val="00317256"/>
    <w:rsid w:val="00317B09"/>
    <w:rsid w:val="00321A3C"/>
    <w:rsid w:val="0032295D"/>
    <w:rsid w:val="00322E2D"/>
    <w:rsid w:val="00322FBE"/>
    <w:rsid w:val="003254A7"/>
    <w:rsid w:val="003254CC"/>
    <w:rsid w:val="00326907"/>
    <w:rsid w:val="003269DD"/>
    <w:rsid w:val="003271C5"/>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A7C06"/>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0C74"/>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1BD"/>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7743C"/>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6669"/>
    <w:rsid w:val="006F7381"/>
    <w:rsid w:val="00700628"/>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428A"/>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66BBB"/>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9D"/>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55C9E"/>
    <w:rsid w:val="00E56982"/>
    <w:rsid w:val="00E608C1"/>
    <w:rsid w:val="00E61509"/>
    <w:rsid w:val="00E619AF"/>
    <w:rsid w:val="00E61CFF"/>
    <w:rsid w:val="00E6416B"/>
    <w:rsid w:val="00E652C9"/>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466"/>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styleId="afe">
    <w:name w:val="No Spacing"/>
    <w:uiPriority w:val="1"/>
    <w:qFormat/>
    <w:rsid w:val="00FC5466"/>
    <w:rPr>
      <w:rFonts w:eastAsia="Calibri"/>
      <w:lang w:eastAsia="en-US"/>
    </w:rPr>
  </w:style>
  <w:style w:type="character" w:customStyle="1" w:styleId="ConsPlusNormal0">
    <w:name w:val="ConsPlusNormal Знак"/>
    <w:link w:val="ConsPlusNormal"/>
    <w:locked/>
    <w:rsid w:val="00FC546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2B646-9CC0-43BA-B546-FAE11384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9071</Words>
  <Characters>51707</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cp:lastModifiedBy>
  <cp:revision>2</cp:revision>
  <cp:lastPrinted>2021-08-05T14:00:00Z</cp:lastPrinted>
  <dcterms:created xsi:type="dcterms:W3CDTF">2023-02-20T08:14:00Z</dcterms:created>
  <dcterms:modified xsi:type="dcterms:W3CDTF">2023-02-20T08:14:00Z</dcterms:modified>
</cp:coreProperties>
</file>